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AGREGAR A PROYECTOS DE INVESTIGACIÓN QUE YA ESTÁN EN LA PÁGINA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Proyectos de Investigación 2019-2020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160/19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 – 15/D147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Actores locales y desarrollo turístico-recreativo en el sur del Partido de General Pueyrredón ( Buenos Aires).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TURISMO Y SOCIEDAD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Barbini, Bernarda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162/19  - 15/D149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Elecciones de consumo, alimentación saludable y preferencias por productos regionales.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ECONOMÍA AGRARIA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Berges, Miriam Edith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164/19 - 15/D151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 Derechos formación y de Pase. Los jugadores de Fútbol como un activo intangible para los Clubes.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GRUPO TERCER SECTOR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Diector: De Vega, Raúl Ernesto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161/19 -  15/D148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Turismo y territorio. Aportes y reflexiones ara el desarrollo de destinos costeros.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DE INVESTIGACIÓN TURISMO Y TERRITORIO: ESPACIOS NATURALES Y CULTURALES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Benseny, Graciela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– directora: Varisco, Cristina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z w:val="20"/>
          <w:szCs w:val="20"/>
          <w:rtl w:val="0"/>
        </w:rPr>
        <w:t xml:space="preserve">159/19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- 15/D146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La re configuración del escenario laboral nacional partir del contexto macroeconómico actual y su incidencia a nivel local (2010-2019).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ESTUDIOS DEL TRABAJO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Director: Actis Di Pasquale, Eugenio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– directora: Lanari, María Estela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166/19 -  15/D153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Diseño y estimación de un indicador de actividad económica local para el Municipio de General Pueyrredón.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INDICADORES SOCIOECONÓMICOS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Lacaze, María Victoria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– directora: Atucha, Ana Julia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163/19  -  15/D150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0"/>
          <w:szCs w:val="20"/>
          <w:rtl w:val="0"/>
        </w:rPr>
        <w:t xml:space="preserve">Análisis y definición de marcos operativos para la gestión ambiental de los destinos litorales: estudio del destino Miramar.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ECONOMÍA ECOLÓGICA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Bertoni, Marcela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167/19 – 15/D154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El efecto de la diversificación productiva en el desempeño de las empresas: evidencia en la industria del Partido de Gral. Pueyrredon en el contexto actual.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ANÁLISIS INDUSTRIAL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Liseras, Natacha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– director: Graña, Fernando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9) 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165/19 – 15/D152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333333"/>
          <w:sz w:val="20"/>
          <w:szCs w:val="20"/>
          <w:rtl w:val="0"/>
        </w:rPr>
        <w:t xml:space="preserve">Políticas y programas Públicos de inclusión social que acompañan las transiciones de los jóvenes a la vida adulta. Un estudio a nivel local.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ESTUDIOS DEL TRABAJO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Directora: Gentile, Natacha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– director: Merino, Gabriel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Corregir en la página: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GRUPO ESTUDIOS CONTABLES por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GRUPO INVESTIGACIONES CONTABLES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GRUPO TURISMO Y TERRITORIO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ff"/>
          <w:sz w:val="20"/>
          <w:szCs w:val="20"/>
          <w:rtl w:val="0"/>
        </w:rPr>
        <w:t xml:space="preserve">GRUPO DE INVESTIGACIÓN TURISMO Y TERRITORIO: ESPACIOS NATURALES Y CULTURALES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