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Proyectos de Investigación 2021-2022</w:t>
      </w:r>
    </w:p>
    <w:p w:rsidR="00000000" w:rsidDel="00000000" w:rsidP="00000000" w:rsidRDefault="00000000" w:rsidRPr="00000000" w14:paraId="0000000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ECO</w:t>
      </w:r>
      <w:r w:rsidDel="00000000" w:rsidR="00000000" w:rsidRPr="00000000">
        <w:rPr>
          <w:rFonts w:ascii="Arial" w:cs="Arial" w:eastAsia="Arial" w:hAnsi="Arial"/>
          <w:b w:val="0"/>
          <w:i w:val="0"/>
          <w:smallCaps w:val="0"/>
          <w:sz w:val="20"/>
          <w:szCs w:val="20"/>
          <w:rtl w:val="0"/>
        </w:rPr>
        <w:t xml:space="preserve">176/21 - 15/D163 </w:t>
      </w:r>
      <w:r w:rsidDel="00000000" w:rsidR="00000000" w:rsidRPr="00000000">
        <w:rPr>
          <w:rtl w:val="0"/>
        </w:rPr>
      </w:r>
    </w:p>
    <w:p w:rsidR="00000000" w:rsidDel="00000000" w:rsidP="00000000" w:rsidRDefault="00000000" w:rsidRPr="00000000" w14:paraId="00000004">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Trabajo, ingresos y cuidado durante la pandemia y postpandemia. Transiciones diferenciales de la población trabajadora en Argentina desde una perspectiva de género y su incidencia a nivel local.</w:t>
      </w:r>
      <w:r w:rsidDel="00000000" w:rsidR="00000000" w:rsidRPr="00000000">
        <w:rPr>
          <w:rtl w:val="0"/>
        </w:rPr>
      </w:r>
    </w:p>
    <w:p w:rsidR="00000000" w:rsidDel="00000000" w:rsidP="00000000" w:rsidRDefault="00000000" w:rsidRPr="00000000" w14:paraId="00000006">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07">
      <w:pPr>
        <w:jc w:val="both"/>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GRUPO ESTUDIOS DEL TRABAJO</w:t>
      </w:r>
    </w:p>
    <w:p w:rsidR="00000000" w:rsidDel="00000000" w:rsidP="00000000" w:rsidRDefault="00000000" w:rsidRPr="00000000" w14:paraId="00000008">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 </w:t>
      </w:r>
      <w:r w:rsidDel="00000000" w:rsidR="00000000" w:rsidRPr="00000000">
        <w:rPr>
          <w:rFonts w:ascii="Arial" w:cs="Arial" w:eastAsia="Arial" w:hAnsi="Arial"/>
          <w:b w:val="0"/>
          <w:i w:val="0"/>
          <w:smallCaps w:val="0"/>
          <w:strike w:val="0"/>
          <w:color w:val="000001"/>
          <w:sz w:val="20"/>
          <w:szCs w:val="20"/>
          <w:u w:val="none"/>
          <w:rtl w:val="0"/>
        </w:rPr>
        <w:t xml:space="preserve">Actis di Pasquale, Eugenio</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0A">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Co – Director: Labrunee, Eugenia </w:t>
      </w:r>
      <w:r w:rsidDel="00000000" w:rsidR="00000000" w:rsidRPr="00000000">
        <w:rPr>
          <w:rtl w:val="0"/>
        </w:rPr>
      </w:r>
    </w:p>
    <w:p w:rsidR="00000000" w:rsidDel="00000000" w:rsidP="00000000" w:rsidRDefault="00000000" w:rsidRPr="00000000" w14:paraId="0000000C">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Resumen:</w:t>
      </w:r>
    </w:p>
    <w:p w:rsidR="00000000" w:rsidDel="00000000" w:rsidP="00000000" w:rsidRDefault="00000000" w:rsidRPr="00000000" w14:paraId="0000000E">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Fonts w:ascii="Arial" w:cs="Arial" w:eastAsia="Arial" w:hAnsi="Arial"/>
          <w:b w:val="0"/>
          <w:i w:val="0"/>
          <w:smallCaps w:val="0"/>
          <w:color w:val="333333"/>
          <w:sz w:val="20"/>
          <w:szCs w:val="20"/>
          <w:rtl w:val="0"/>
        </w:rPr>
        <w:t xml:space="preserve">En este estudio se propone dar cuenta del impacto de las recientes medidas de aislamiento social sobre el trabajo,</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los ingresos y la redistribución de los tiempos de trabajo no remunerado dentro de los hogares, tanto durante el</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periodo de pandemia como postpandemia, tanto en Argentina como su incidencia a nivel local. El período de</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análisis lo consideramos a partir de 2015 con la finalidad de poder comprender los condicionamientos</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macoreconómicos actuales y el escenario laboral previo a la irrupción de la pandemia, el cual ya se encontraba</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deteriorado con un elevado nivel de informalidad. En este sentido, el abordaje se realizará desde de un doble</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conjunto de enfoques teórico-conceptuales transversalizados por la perspectiva de género: las teorías de la</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segmentación del mercado de trabajo y la Economía del cuidado. Los resultados obtenidos servirán como insumo</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para la descripción, el monitoreo y la evaluación de la efectividad y equidad de las políticas públicas vigentes.</w:t>
      </w:r>
      <w:r w:rsidDel="00000000" w:rsidR="00000000" w:rsidRPr="00000000">
        <w:rPr>
          <w:rFonts w:ascii="Arial" w:cs="Arial" w:eastAsia="Arial" w:hAnsi="Arial"/>
          <w:b w:val="0"/>
          <w:i w:val="0"/>
          <w:smallCaps w:val="0"/>
          <w:sz w:val="20"/>
          <w:szCs w:val="20"/>
          <w:rtl w:val="0"/>
        </w:rPr>
        <w:t xml:space="preserve"> </w:t>
      </w:r>
      <w:r w:rsidDel="00000000" w:rsidR="00000000" w:rsidRPr="00000000">
        <w:rPr>
          <w:rtl w:val="0"/>
        </w:rPr>
      </w:r>
    </w:p>
    <w:p w:rsidR="00000000" w:rsidDel="00000000" w:rsidP="00000000" w:rsidRDefault="00000000" w:rsidRPr="00000000" w14:paraId="00000010">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ECO177/21 - 15/D164 </w:t>
      </w:r>
      <w:r w:rsidDel="00000000" w:rsidR="00000000" w:rsidRPr="00000000">
        <w:rPr>
          <w:rtl w:val="0"/>
        </w:rPr>
      </w:r>
    </w:p>
    <w:p w:rsidR="00000000" w:rsidDel="00000000" w:rsidP="00000000" w:rsidRDefault="00000000" w:rsidRPr="00000000" w14:paraId="00000015">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mallCaps w:val="0"/>
          <w:strike w:val="0"/>
          <w:color w:val="000001"/>
          <w:sz w:val="20"/>
          <w:szCs w:val="20"/>
          <w:u w:val="none"/>
          <w:rtl w:val="0"/>
        </w:rPr>
        <w:t xml:space="preserve">“</w:t>
      </w:r>
      <w:r w:rsidDel="00000000" w:rsidR="00000000" w:rsidRPr="00000000">
        <w:rPr>
          <w:rFonts w:ascii="Arial" w:cs="Arial" w:eastAsia="Arial" w:hAnsi="Arial"/>
          <w:b w:val="0"/>
          <w:i w:val="0"/>
          <w:strike w:val="0"/>
          <w:color w:val="000001"/>
          <w:sz w:val="20"/>
          <w:szCs w:val="20"/>
          <w:u w:val="none"/>
          <w:rtl w:val="0"/>
        </w:rPr>
        <w:t xml:space="preserve">Actores locales y desarrollo turístico-recreativo en el sur del Partido de General Pueyrredon (Buenos Aires) Parte II” </w:t>
      </w:r>
    </w:p>
    <w:p w:rsidR="00000000" w:rsidDel="00000000" w:rsidP="00000000" w:rsidRDefault="00000000" w:rsidRPr="00000000" w14:paraId="00000017">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18">
      <w:pPr>
        <w:jc w:val="both"/>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 GRUPO TURISMO Y SOCIEDAD</w:t>
      </w:r>
    </w:p>
    <w:p w:rsidR="00000000" w:rsidDel="00000000" w:rsidP="00000000" w:rsidRDefault="00000000" w:rsidRPr="00000000" w14:paraId="00000019">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Mg.Barbini Bernarda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1B">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Co – Directora: </w:t>
      </w:r>
      <w:r w:rsidDel="00000000" w:rsidR="00000000" w:rsidRPr="00000000">
        <w:rPr>
          <w:rFonts w:ascii="Arial" w:cs="Arial" w:eastAsia="Arial" w:hAnsi="Arial"/>
          <w:b w:val="0"/>
          <w:i w:val="0"/>
          <w:smallCaps w:val="0"/>
          <w:strike w:val="0"/>
          <w:color w:val="000001"/>
          <w:sz w:val="20"/>
          <w:szCs w:val="20"/>
          <w:u w:val="none"/>
          <w:rtl w:val="0"/>
        </w:rPr>
        <w:t xml:space="preserve">Castelucci, Daniela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1D">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p w:rsidR="00000000" w:rsidDel="00000000" w:rsidP="00000000" w:rsidRDefault="00000000" w:rsidRPr="00000000" w14:paraId="0000001F">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333333"/>
          <w:sz w:val="20"/>
          <w:szCs w:val="20"/>
          <w:u w:val="none"/>
          <w:rtl w:val="0"/>
        </w:rPr>
        <w:t xml:space="preserve">El nuevo escenario mundial producido por la pandemia del COVID-19 plantea en el orden local la necesidad de</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poner en valor los espacios rurales y periurbanos del sur del Partido de General Pueyrredon a la vez que repensar</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las acciones y las prácticas turístico-recreativas alternativas a las modalidades tradicionales, por parte de los actores</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locales.</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Es por ello que adquiere relevancia la indagación respecto de la visión y acción de los actores locales del Partido de</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General Pueyrredon vinculados al desarrollo turístico-recreativo de la zona sur, desde las dimensiones sociopolítica</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y sociocultural.</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De esta manera, se propone la realización de un estudio descriptivo e interpretativo, adoptando un enfoque</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cualitativo, utilizando como instrumentos de recolección de datos entrevistas semiestructuradas a aplicarse a una</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muestra cualitativa intencional de actores locales y análisis de contenido de diversas fuentes documentales.</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A partir de los resultados obtenidos se espera que aporten a la profundización del conocimiento en torno al tema</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objeto de estudio, constituyéndose asimismo en material de reflexión y acción para los actores públicos, privados y</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comunitarios locales.</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21">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ECO178/21 - 15/D165 </w:t>
      </w:r>
      <w:r w:rsidDel="00000000" w:rsidR="00000000" w:rsidRPr="00000000">
        <w:rPr>
          <w:rtl w:val="0"/>
        </w:rPr>
      </w:r>
    </w:p>
    <w:p w:rsidR="00000000" w:rsidDel="00000000" w:rsidP="00000000" w:rsidRDefault="00000000" w:rsidRPr="00000000" w14:paraId="00000024">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Turismo y desarrollo territorial en destinos costeros. El caso del Partido de General Pueyrredón </w:t>
      </w:r>
    </w:p>
    <w:p w:rsidR="00000000" w:rsidDel="00000000" w:rsidP="00000000" w:rsidRDefault="00000000" w:rsidRPr="00000000" w14:paraId="00000026">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GRUPO DE INVESTIGACIÓN TURISMO Y TERRITORIO: ESPACIOS NATURALES Y CULTURALES</w:t>
      </w:r>
    </w:p>
    <w:p w:rsidR="00000000" w:rsidDel="00000000" w:rsidP="00000000" w:rsidRDefault="00000000" w:rsidRPr="00000000" w14:paraId="00000028">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Directora: Benseny, Graciela </w:t>
      </w:r>
      <w:r w:rsidDel="00000000" w:rsidR="00000000" w:rsidRPr="00000000">
        <w:rPr>
          <w:rtl w:val="0"/>
        </w:rPr>
      </w:r>
    </w:p>
    <w:p w:rsidR="00000000" w:rsidDel="00000000" w:rsidP="00000000" w:rsidRDefault="00000000" w:rsidRPr="00000000" w14:paraId="0000002A">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Co – Directora: Varisco, Cristina </w:t>
      </w:r>
      <w:r w:rsidDel="00000000" w:rsidR="00000000" w:rsidRPr="00000000">
        <w:rPr>
          <w:rtl w:val="0"/>
        </w:rPr>
      </w:r>
    </w:p>
    <w:p w:rsidR="00000000" w:rsidDel="00000000" w:rsidP="00000000" w:rsidRDefault="00000000" w:rsidRPr="00000000" w14:paraId="0000002C">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Resumen:</w:t>
      </w:r>
    </w:p>
    <w:p w:rsidR="00000000" w:rsidDel="00000000" w:rsidP="00000000" w:rsidRDefault="00000000" w:rsidRPr="00000000" w14:paraId="0000002E">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0"/>
          <w:szCs w:val="20"/>
        </w:rPr>
      </w:pPr>
      <w:r w:rsidDel="00000000" w:rsidR="00000000" w:rsidRPr="00000000">
        <w:rPr>
          <w:rFonts w:ascii="Arial" w:cs="Arial" w:eastAsia="Arial" w:hAnsi="Arial"/>
          <w:b w:val="0"/>
          <w:i w:val="0"/>
          <w:smallCaps w:val="0"/>
          <w:color w:val="333333"/>
          <w:sz w:val="20"/>
          <w:szCs w:val="20"/>
          <w:rtl w:val="0"/>
        </w:rPr>
        <w:t xml:space="preserve">La concepción compleja del Desarrollo Territorial y su vinculación con la actividad turística requiere una</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permanente revisión epistemológica y práctica. A nivel teórico, se analiza la evolución del concepto de Desarrollo hasta su reformulación como noción transdisciplinaria. A nivel práctico, se analiza su relación con el turismo a partir del proceso de transformación territorial, evolución y acondicionamiento urbano-turístico-recreativo de espacios costeros y reservas forestales del Partido de General Pueyrredon, donde se originan situaciones concretas de impacto territorial que ponen en riesgo la sustentabilidad del destino.</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Tanto la presencia de recursos naturales costeros como las reservas forestales, poseen potencialidad para el turismo y recreación, y capacidad para contribuir al desarrollo territorial, siendo necesario promover el desarrollo turístico sostenible basado en la minimización de impactos y la conservación de los recursos. La propuesta de Geoturismo, desde la identificación de geositios, las acciones de concientización turístico ambiental y la planificación turístico- recreativa, constituyen herramientas que permiten lograr una relación armónica entre el turismo y la naturaleza.</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Los resultados de la investigación surgen del análisis del destino costero, considerado como un espacio de</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articulación donde se manifiestan las relaciones generadas por diversos actores y las transformaciones en los aspectos económicos, sociales y ambientales a partir de la evolución de la actividad turística.</w:t>
      </w:r>
      <w:r w:rsidDel="00000000" w:rsidR="00000000" w:rsidRPr="00000000">
        <w:rPr>
          <w:rFonts w:ascii="Arial" w:cs="Arial" w:eastAsia="Arial" w:hAnsi="Arial"/>
          <w:b w:val="0"/>
          <w:i w:val="0"/>
          <w:smallCaps w:val="0"/>
          <w:sz w:val="20"/>
          <w:szCs w:val="20"/>
          <w:rtl w:val="0"/>
        </w:rPr>
        <w:t xml:space="preserve"> </w:t>
      </w:r>
      <w:r w:rsidDel="00000000" w:rsidR="00000000" w:rsidRPr="00000000">
        <w:rPr>
          <w:rtl w:val="0"/>
        </w:rPr>
      </w:r>
    </w:p>
    <w:p w:rsidR="00000000" w:rsidDel="00000000" w:rsidP="00000000" w:rsidRDefault="00000000" w:rsidRPr="00000000" w14:paraId="00000030">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ECO179/21 - 15/D166 </w:t>
      </w:r>
      <w:r w:rsidDel="00000000" w:rsidR="00000000" w:rsidRPr="00000000">
        <w:rPr>
          <w:rtl w:val="0"/>
        </w:rPr>
      </w:r>
    </w:p>
    <w:p w:rsidR="00000000" w:rsidDel="00000000" w:rsidP="00000000" w:rsidRDefault="00000000" w:rsidRPr="00000000" w14:paraId="00000032">
      <w:pPr>
        <w:jc w:val="both"/>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Comportamiento de consumo y hábitos de alimentación: </w:t>
      </w:r>
      <w:r w:rsidDel="00000000" w:rsidR="00000000" w:rsidRPr="00000000">
        <w:rPr>
          <w:rFonts w:ascii="Arial" w:cs="Arial" w:eastAsia="Arial" w:hAnsi="Arial"/>
          <w:color w:val="000001"/>
          <w:sz w:val="20"/>
          <w:szCs w:val="20"/>
          <w:rtl w:val="0"/>
        </w:rPr>
        <w:t xml:space="preserve">preferencias</w:t>
      </w:r>
      <w:r w:rsidDel="00000000" w:rsidR="00000000" w:rsidRPr="00000000">
        <w:rPr>
          <w:rFonts w:ascii="Arial" w:cs="Arial" w:eastAsia="Arial" w:hAnsi="Arial"/>
          <w:b w:val="0"/>
          <w:i w:val="0"/>
          <w:strike w:val="0"/>
          <w:color w:val="000001"/>
          <w:sz w:val="20"/>
          <w:szCs w:val="20"/>
          <w:u w:val="none"/>
          <w:rtl w:val="0"/>
        </w:rPr>
        <w:t xml:space="preserve"> individuales y asignación intra- hogar.</w:t>
      </w:r>
    </w:p>
    <w:p w:rsidR="00000000" w:rsidDel="00000000" w:rsidP="00000000" w:rsidRDefault="00000000" w:rsidRPr="00000000" w14:paraId="00000034">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35">
      <w:pPr>
        <w:jc w:val="both"/>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GRUPO ECONOMÍA AGRARIA</w:t>
      </w:r>
    </w:p>
    <w:p w:rsidR="00000000" w:rsidDel="00000000" w:rsidP="00000000" w:rsidRDefault="00000000" w:rsidRPr="00000000" w14:paraId="00000036">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Berges, Miriam</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38">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Co – Directora: </w:t>
      </w:r>
      <w:r w:rsidDel="00000000" w:rsidR="00000000" w:rsidRPr="00000000">
        <w:rPr>
          <w:rFonts w:ascii="Arial" w:cs="Arial" w:eastAsia="Arial" w:hAnsi="Arial"/>
          <w:b w:val="0"/>
          <w:i w:val="0"/>
          <w:smallCaps w:val="0"/>
          <w:strike w:val="0"/>
          <w:color w:val="000001"/>
          <w:sz w:val="20"/>
          <w:szCs w:val="20"/>
          <w:u w:val="none"/>
          <w:rtl w:val="0"/>
        </w:rPr>
        <w:t xml:space="preserve">Lupin, M.Beatriz</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3A">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p w:rsidR="00000000" w:rsidDel="00000000" w:rsidP="00000000" w:rsidRDefault="00000000" w:rsidRPr="00000000" w14:paraId="0000003C">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333333"/>
          <w:sz w:val="20"/>
          <w:szCs w:val="20"/>
          <w:u w:val="none"/>
          <w:rtl w:val="0"/>
        </w:rPr>
        <w:t xml:space="preserve">Este proyecto continúa las líneas de investigación del grupo sobre consumo de alimentos de los hogares, a</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partir del análisis de datos provenientes de encuestas –obtenidas por medio de relevamientos propios y</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específicos, con alcance local y regional, o disponibles y publicadas por organismos de carácter nacional</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(INDEC), tal como la Encuesta Nacional de Gastos de los Hogares (ENGHo).</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El trabajo de investigación se centrará en dos nuevos objetivos para los próximos dos años, aunque se</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continuará en paralelo con líneas de investigación iniciadas en proyectos anteriores (Escalas de equivalencia</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y Sistemas de Demanda). El primero propone analizar las decisiones de los individuos en materia de</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alimentación saludable e indagar en las percepciones de los consumidores sobre calidad de la producción local</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de alimentos. El segundo aborda dos cuestiones con implicancias metodológicas, la modelización de la</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distribución de recursos intra-hogar y el diseño de índices de precios regionales utilizando la información de</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la ENGHo. Se espera como resultado de las investigaciones realizadas en el marco del primer objetivo,</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contribuir al diseño de información que incentive comportamientos de consumo más responsables y promueva</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la valoración de los alimentos de calidad producidos en la región. En relación con el segundo objetivo</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planteado, los resultados consistirán en aplicaciones empíricas que aportan a la evaluación de políticas con</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impacto sobre el bienestar de los hogares.</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3E">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ECO</w:t>
      </w:r>
      <w:r w:rsidDel="00000000" w:rsidR="00000000" w:rsidRPr="00000000">
        <w:rPr>
          <w:rFonts w:ascii="Arial" w:cs="Arial" w:eastAsia="Arial" w:hAnsi="Arial"/>
          <w:b w:val="0"/>
          <w:i w:val="0"/>
          <w:smallCaps w:val="0"/>
          <w:strike w:val="0"/>
          <w:color w:val="000001"/>
          <w:sz w:val="20"/>
          <w:szCs w:val="20"/>
          <w:u w:val="none"/>
          <w:rtl w:val="0"/>
        </w:rPr>
        <w:t xml:space="preserve">180/21 - 15/D167 </w:t>
      </w:r>
      <w:r w:rsidDel="00000000" w:rsidR="00000000" w:rsidRPr="00000000">
        <w:rPr>
          <w:rtl w:val="0"/>
        </w:rPr>
      </w:r>
    </w:p>
    <w:p w:rsidR="00000000" w:rsidDel="00000000" w:rsidP="00000000" w:rsidRDefault="00000000" w:rsidRPr="00000000" w14:paraId="00000040">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mallCaps w:val="0"/>
          <w:strike w:val="0"/>
          <w:color w:val="000001"/>
          <w:sz w:val="20"/>
          <w:szCs w:val="20"/>
          <w:u w:val="none"/>
          <w:rtl w:val="0"/>
        </w:rPr>
        <w:t xml:space="preserve">“</w:t>
      </w:r>
      <w:r w:rsidDel="00000000" w:rsidR="00000000" w:rsidRPr="00000000">
        <w:rPr>
          <w:rFonts w:ascii="Arial" w:cs="Arial" w:eastAsia="Arial" w:hAnsi="Arial"/>
          <w:b w:val="0"/>
          <w:i w:val="0"/>
          <w:strike w:val="0"/>
          <w:color w:val="000001"/>
          <w:sz w:val="20"/>
          <w:szCs w:val="20"/>
          <w:u w:val="none"/>
          <w:rtl w:val="0"/>
        </w:rPr>
        <w:t xml:space="preserve">Planificación estratégica por problemas como alternativa para escenarios turísticos contingentes: el caso de Miramar” </w:t>
      </w:r>
    </w:p>
    <w:p w:rsidR="00000000" w:rsidDel="00000000" w:rsidP="00000000" w:rsidRDefault="00000000" w:rsidRPr="00000000" w14:paraId="00000042">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43">
      <w:pPr>
        <w:jc w:val="both"/>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GRUPO ECONOMÍA ECOLÓGICA</w:t>
      </w:r>
    </w:p>
    <w:p w:rsidR="00000000" w:rsidDel="00000000" w:rsidP="00000000" w:rsidRDefault="00000000" w:rsidRPr="00000000" w14:paraId="00000044">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1"/>
          <w:sz w:val="20"/>
          <w:szCs w:val="20"/>
          <w:u w:val="none"/>
          <w:rtl w:val="0"/>
        </w:rPr>
        <w:t xml:space="preserve">Directora: Bertoni, Marcela </w:t>
      </w:r>
      <w:r w:rsidDel="00000000" w:rsidR="00000000" w:rsidRPr="00000000">
        <w:rPr>
          <w:rtl w:val="0"/>
        </w:rPr>
      </w:r>
    </w:p>
    <w:p w:rsidR="00000000" w:rsidDel="00000000" w:rsidP="00000000" w:rsidRDefault="00000000" w:rsidRPr="00000000" w14:paraId="00000046">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1"/>
          <w:sz w:val="20"/>
          <w:szCs w:val="20"/>
          <w:u w:val="none"/>
          <w:rtl w:val="0"/>
        </w:rPr>
        <w:t xml:space="preserve">Co – Directora: López, M. José </w:t>
      </w:r>
      <w:r w:rsidDel="00000000" w:rsidR="00000000" w:rsidRPr="00000000">
        <w:rPr>
          <w:rtl w:val="0"/>
        </w:rPr>
      </w:r>
    </w:p>
    <w:p w:rsidR="00000000" w:rsidDel="00000000" w:rsidP="00000000" w:rsidRDefault="00000000" w:rsidRPr="00000000" w14:paraId="00000048">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49">
      <w:pPr>
        <w:jc w:val="both"/>
        <w:rPr>
          <w:rFonts w:ascii="Arial" w:cs="Arial" w:eastAsia="Arial" w:hAnsi="Arial"/>
          <w:b w:val="0"/>
          <w:i w:val="0"/>
          <w:smallCaps w:val="0"/>
          <w:strike w:val="0"/>
          <w:color w:val="000001"/>
          <w:sz w:val="20"/>
          <w:szCs w:val="20"/>
          <w:u w:val="none"/>
        </w:rPr>
      </w:pPr>
      <w:r w:rsidDel="00000000" w:rsidR="00000000" w:rsidRPr="00000000">
        <w:rPr>
          <w:rFonts w:ascii="Arial" w:cs="Arial" w:eastAsia="Arial" w:hAnsi="Arial"/>
          <w:b w:val="0"/>
          <w:i w:val="0"/>
          <w:smallCaps w:val="0"/>
          <w:strike w:val="0"/>
          <w:color w:val="000001"/>
          <w:sz w:val="20"/>
          <w:szCs w:val="20"/>
          <w:u w:val="none"/>
          <w:rtl w:val="0"/>
        </w:rPr>
        <w:t xml:space="preserve">Resumen:</w:t>
      </w:r>
    </w:p>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333333"/>
          <w:sz w:val="20"/>
          <w:szCs w:val="20"/>
          <w:u w:val="none"/>
          <w:rtl w:val="0"/>
        </w:rPr>
        <w:t xml:space="preserve">En el contexto actual, la actividad turística se enfrenta al interrogante de cómo puede ser afrontado el escenario post</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COVID-19. Esta crisis podría ser analizada como una oportunidad para realizar cambios estructurales en la</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actividad turística.</w:t>
      </w:r>
      <w:r w:rsidDel="00000000" w:rsidR="00000000" w:rsidRPr="00000000">
        <w:rPr>
          <w:rFonts w:ascii="Arial" w:cs="Arial" w:eastAsia="Arial" w:hAnsi="Arial"/>
          <w:b w:val="0"/>
          <w:i w:val="0"/>
          <w:smallCaps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El desafío actual es redefinir la funcionalidad turística e innovar y ajustar la planificación a un escenario de</w:t>
      </w:r>
      <w:r w:rsidDel="00000000" w:rsidR="00000000" w:rsidRPr="00000000">
        <w:rPr>
          <w:rFonts w:ascii="Arial" w:cs="Arial" w:eastAsia="Arial" w:hAnsi="Arial"/>
          <w:b w:val="0"/>
          <w:i w:val="0"/>
          <w:smallCaps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incertidumbre y contingencia. Por tanto, el objetivo es elaborar una aproximación teórica metodológica para plantear</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una planeación estratégica por problemas, con posibilidad y capacidad de adaptarse a las contingencias del escenario</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turístico de Miramar.</w:t>
      </w:r>
      <w:r w:rsidDel="00000000" w:rsidR="00000000" w:rsidRPr="00000000">
        <w:rPr>
          <w:rFonts w:ascii="Arial" w:cs="Arial" w:eastAsia="Arial" w:hAnsi="Arial"/>
          <w:b w:val="0"/>
          <w:i w:val="0"/>
          <w:smallCaps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La estrategia metodológica consistirá en la aplicación de la planificación estratégica por problemas. Para ello, se</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delinearán los criterios y bases para sistematizar un escenario de alerta rápida, confeccionar un barómetro del</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turismo, definir una agenda de contingencia apoyada en un proceso valorativo y elaborar un marco de vinculación,</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colaborativo y participativo.</w:t>
      </w:r>
      <w:r w:rsidDel="00000000" w:rsidR="00000000" w:rsidRPr="00000000">
        <w:rPr>
          <w:rFonts w:ascii="Arial" w:cs="Arial" w:eastAsia="Arial" w:hAnsi="Arial"/>
          <w:b w:val="0"/>
          <w:i w:val="0"/>
          <w:smallCaps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Los resultados esperados son la estructuración de prácticas e instrumentos para la conformación de una agenda con</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capacidad de afrontar contingencias y adaptarse permanentemente. De este modo, se generará una alternativa posible</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para garantizar respuestas rápidas, adecuadas y efectivas en una situación crítica o emergente.</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4B">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000001"/>
          <w:sz w:val="20"/>
          <w:szCs w:val="20"/>
          <w:u w:val="none"/>
          <w:rtl w:val="0"/>
        </w:rPr>
        <w:t xml:space="preserve">ECO181/21 - 15/D168 </w:t>
      </w:r>
      <w:r w:rsidDel="00000000" w:rsidR="00000000" w:rsidRPr="00000000">
        <w:rPr>
          <w:rtl w:val="0"/>
        </w:rPr>
      </w:r>
    </w:p>
    <w:p w:rsidR="00000000" w:rsidDel="00000000" w:rsidP="00000000" w:rsidRDefault="00000000" w:rsidRPr="00000000" w14:paraId="0000004E">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4F">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Mirar las desigualdades desde la perspectiva de un proyecto de desarrollo nacional para repensar políticas distributivas a nivel local y nacional. </w:t>
      </w:r>
    </w:p>
    <w:p w:rsidR="00000000" w:rsidDel="00000000" w:rsidP="00000000" w:rsidRDefault="00000000" w:rsidRPr="00000000" w14:paraId="00000050">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51">
      <w:pPr>
        <w:jc w:val="both"/>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GRUPO ESTUDIOS DEL TRABAJO</w:t>
      </w:r>
    </w:p>
    <w:p w:rsidR="00000000" w:rsidDel="00000000" w:rsidP="00000000" w:rsidRDefault="00000000" w:rsidRPr="00000000" w14:paraId="00000052">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Gentile, Natacha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54">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55">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p w:rsidR="00000000" w:rsidDel="00000000" w:rsidP="00000000" w:rsidRDefault="00000000" w:rsidRPr="00000000" w14:paraId="00000056">
      <w:pPr>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333333"/>
          <w:sz w:val="20"/>
          <w:szCs w:val="20"/>
          <w:u w:val="none"/>
          <w:rtl w:val="0"/>
        </w:rPr>
        <w:t xml:space="preserve">A inicios del siglo XXI la Argentina continúa atravesada por núcleos de pobreza estructural y fuertes desigualdades que derivan en escenarios de violencia física y simbólica y que demandan el establecimiento de un horizonte de desarrollo para nuestro país bajo la forma de estrategia de largo plazo orientada a revertir estos procesos. A los sucesivos cambios en la orientación política y en la geopolítica global se suma el golpe que produce la pandemia del covid-19. Generando ésta un fuerte impacto en colectivos sociales que tienen en común una vulnerabilidad que precede a la cuarentena y no ha hecho más que agravarse con ella lo que agudiza las tendencias hacia la exclusión y la desigualdad, con consecuencias sobre la estabilidad política y la cohesión social. Al tiempo que esto ocurre se demandan nuevas respuestas desde el Estado en materia distributiva y se tensa el debate sobre la prevalencia de un modelo nacional de desarrollo versus la reedición de un modelo neoliberal. En este marco el proyecto se propone reflexionar sobre las desigualdes nacionales y locales en el contexto de un proyecto de desarrollo nacional orientado a la inclusión y el bienestar social. Para ello se combinará el análisis bibliográfico integral y el análisis estadístico buscando con esto generar elementos de discusión crítica que permitan repensar políticas distributivas a nivel local y nacional.</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57">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ECO</w:t>
      </w:r>
      <w:r w:rsidDel="00000000" w:rsidR="00000000" w:rsidRPr="00000000">
        <w:rPr>
          <w:rFonts w:ascii="Arial" w:cs="Arial" w:eastAsia="Arial" w:hAnsi="Arial"/>
          <w:b w:val="0"/>
          <w:i w:val="0"/>
          <w:smallCaps w:val="0"/>
          <w:strike w:val="0"/>
          <w:color w:val="000001"/>
          <w:sz w:val="20"/>
          <w:szCs w:val="20"/>
          <w:u w:val="none"/>
          <w:rtl w:val="0"/>
        </w:rPr>
        <w:t xml:space="preserve">182/21 - 15/D169 </w:t>
      </w:r>
      <w:r w:rsidDel="00000000" w:rsidR="00000000" w:rsidRPr="00000000">
        <w:rPr>
          <w:rtl w:val="0"/>
        </w:rPr>
      </w:r>
    </w:p>
    <w:p w:rsidR="00000000" w:rsidDel="00000000" w:rsidP="00000000" w:rsidRDefault="00000000" w:rsidRPr="00000000" w14:paraId="00000059">
      <w:pPr>
        <w:jc w:val="both"/>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5A">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Monitoreo Macroeconómico Local: Actualización y revisión del Índice Sintético de Actividad Económica del Partido de General Pueyrredón, año base 2004.</w:t>
      </w:r>
    </w:p>
    <w:p w:rsidR="00000000" w:rsidDel="00000000" w:rsidP="00000000" w:rsidRDefault="00000000" w:rsidRPr="00000000" w14:paraId="0000005B">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5C">
      <w:pPr>
        <w:jc w:val="both"/>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GRUPO INDICADORES SOCIOECONÓMICOS</w:t>
      </w:r>
    </w:p>
    <w:p w:rsidR="00000000" w:rsidDel="00000000" w:rsidP="00000000" w:rsidRDefault="00000000" w:rsidRPr="00000000" w14:paraId="0000005D">
      <w:pPr>
        <w:jc w:val="both"/>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 </w:t>
      </w:r>
      <w:r w:rsidDel="00000000" w:rsidR="00000000" w:rsidRPr="00000000">
        <w:rPr>
          <w:rFonts w:ascii="Arial" w:cs="Arial" w:eastAsia="Arial" w:hAnsi="Arial"/>
          <w:b w:val="0"/>
          <w:i w:val="0"/>
          <w:smallCaps w:val="0"/>
          <w:strike w:val="0"/>
          <w:color w:val="000001"/>
          <w:sz w:val="20"/>
          <w:szCs w:val="20"/>
          <w:u w:val="none"/>
          <w:rtl w:val="0"/>
        </w:rPr>
        <w:t xml:space="preserve">Lacaze, M. Victoria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5F">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Co – Directora: </w:t>
      </w:r>
      <w:r w:rsidDel="00000000" w:rsidR="00000000" w:rsidRPr="00000000">
        <w:rPr>
          <w:rFonts w:ascii="Arial" w:cs="Arial" w:eastAsia="Arial" w:hAnsi="Arial"/>
          <w:b w:val="0"/>
          <w:i w:val="0"/>
          <w:smallCaps w:val="0"/>
          <w:strike w:val="0"/>
          <w:color w:val="000001"/>
          <w:sz w:val="20"/>
          <w:szCs w:val="20"/>
          <w:u w:val="none"/>
          <w:rtl w:val="0"/>
        </w:rPr>
        <w:t xml:space="preserve">Atucha, Ana Julia</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61">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62">
      <w:pPr>
        <w:jc w:val="both"/>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Resumen:</w:t>
      </w:r>
    </w:p>
    <w:p w:rsidR="00000000" w:rsidDel="00000000" w:rsidP="00000000" w:rsidRDefault="00000000" w:rsidRPr="00000000" w14:paraId="00000063">
      <w:pPr>
        <w:jc w:val="both"/>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0"/>
          <w:szCs w:val="20"/>
        </w:rPr>
      </w:pPr>
      <w:r w:rsidDel="00000000" w:rsidR="00000000" w:rsidRPr="00000000">
        <w:rPr>
          <w:rFonts w:ascii="Arial" w:cs="Arial" w:eastAsia="Arial" w:hAnsi="Arial"/>
          <w:b w:val="0"/>
          <w:i w:val="0"/>
          <w:smallCaps w:val="0"/>
          <w:strike w:val="0"/>
          <w:color w:val="333333"/>
          <w:sz w:val="20"/>
          <w:szCs w:val="20"/>
          <w:u w:val="none"/>
          <w:rtl w:val="0"/>
        </w:rPr>
        <w:t xml:space="preserve">El desenvolvimiento de la actividad económica se caracteriza por tener una dinámica cíclica, alternada por períodos</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de recesión y de expansión. El indicador que mide en forma más precisa la actividad económica es el producto, que</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recibe el nombre de Producto Bruto Geográfico si hace referencia a una jurisdicción política subnacional.</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La generación de macromagnitudes subnacionales se explica porque los ciclos económicos provinciales, regiones y</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locales no reproducen la dinámica de la economía nacional. Contar con información acerca de la evolución de la</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actividad económica, en forma permanente y actualizada, permite captar las singularidades de la estructura</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productiva, posibilita el monitoreo macroeconómico local y genera herramientas para la política pública.</w:t>
      </w:r>
      <w:r w:rsidDel="00000000" w:rsidR="00000000" w:rsidRPr="00000000">
        <w:rPr>
          <w:rFonts w:ascii="Arial" w:cs="Arial" w:eastAsia="Arial" w:hAnsi="Arial"/>
          <w:b w:val="0"/>
          <w:i w:val="0"/>
          <w:strike w:val="0"/>
          <w:color w:val="000001"/>
          <w:sz w:val="20"/>
          <w:szCs w:val="20"/>
          <w:u w:val="none"/>
          <w:rtl w:val="0"/>
        </w:rPr>
        <w:br w:type="textWrapping"/>
      </w:r>
      <w:r w:rsidDel="00000000" w:rsidR="00000000" w:rsidRPr="00000000">
        <w:rPr>
          <w:rFonts w:ascii="Arial" w:cs="Arial" w:eastAsia="Arial" w:hAnsi="Arial"/>
          <w:b w:val="0"/>
          <w:i w:val="0"/>
          <w:smallCaps w:val="0"/>
          <w:strike w:val="0"/>
          <w:color w:val="333333"/>
          <w:sz w:val="20"/>
          <w:szCs w:val="20"/>
          <w:u w:val="none"/>
          <w:rtl w:val="0"/>
        </w:rPr>
        <w:t xml:space="preserve">En un escenario de escasez de información estadística censal, diversos proyectos han permitido la estimación de</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indicadores sintéticos subnacionales. El objetivo general del proyecto es construir un indicador sintético, coincidente</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y con periodicidad mensual, para el Municipio General Pueyrredon, con año base 2004. A tal fin, se efectuará la</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revisión y actualización de una versión preliminar de dicho indicador, estimado para 2004-2018 por el Grupo de</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Investigación, en un proyecto aun en curso, evaluando la incorporación de datos adicionales y ejecutando los</w:t>
      </w:r>
      <w:r w:rsidDel="00000000" w:rsidR="00000000" w:rsidRPr="00000000">
        <w:rPr>
          <w:rFonts w:ascii="Arial" w:cs="Arial" w:eastAsia="Arial" w:hAnsi="Arial"/>
          <w:b w:val="0"/>
          <w:i w:val="0"/>
          <w:smallCaps w:val="0"/>
          <w:strike w:val="0"/>
          <w:color w:val="000001"/>
          <w:sz w:val="20"/>
          <w:szCs w:val="20"/>
          <w:u w:val="none"/>
          <w:rtl w:val="0"/>
        </w:rPr>
        <w:t xml:space="preserve"> </w:t>
      </w:r>
      <w:r w:rsidDel="00000000" w:rsidR="00000000" w:rsidRPr="00000000">
        <w:rPr>
          <w:rFonts w:ascii="Arial" w:cs="Arial" w:eastAsia="Arial" w:hAnsi="Arial"/>
          <w:b w:val="0"/>
          <w:i w:val="0"/>
          <w:smallCaps w:val="0"/>
          <w:strike w:val="0"/>
          <w:color w:val="333333"/>
          <w:sz w:val="20"/>
          <w:szCs w:val="20"/>
          <w:u w:val="none"/>
          <w:rtl w:val="0"/>
        </w:rPr>
        <w:t xml:space="preserve">consecuentes análisis de sensibilidad, validación, robustez y calibración del indicador sintético definitivo.</w:t>
      </w:r>
      <w:r w:rsidDel="00000000" w:rsidR="00000000" w:rsidRPr="00000000">
        <w:rPr>
          <w:rFonts w:ascii="Arial" w:cs="Arial" w:eastAsia="Arial" w:hAnsi="Arial"/>
          <w:b w:val="0"/>
          <w:i w:val="0"/>
          <w:strike w:val="0"/>
          <w:color w:val="000001"/>
          <w:sz w:val="20"/>
          <w:szCs w:val="20"/>
          <w:u w:val="none"/>
          <w:rtl w:val="0"/>
        </w:rPr>
        <w:t xml:space="preserve"> </w:t>
      </w:r>
      <w:r w:rsidDel="00000000" w:rsidR="00000000" w:rsidRPr="00000000">
        <w:rPr>
          <w:rtl w:val="0"/>
        </w:rPr>
      </w:r>
    </w:p>
    <w:p w:rsidR="00000000" w:rsidDel="00000000" w:rsidP="00000000" w:rsidRDefault="00000000" w:rsidRPr="00000000" w14:paraId="00000065">
      <w:pPr>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b w:val="0"/>
          <w:i w:val="0"/>
          <w:smallCaps w:val="0"/>
          <w:strike w:val="0"/>
          <w:color w:val="000001"/>
          <w:sz w:val="20"/>
          <w:szCs w:val="20"/>
          <w:u w:val="none"/>
          <w:rtl w:val="0"/>
        </w:rPr>
        <w:t xml:space="preserve">ECO183/21 - 15/D170 </w:t>
      </w:r>
      <w:r w:rsidDel="00000000" w:rsidR="00000000" w:rsidRPr="00000000">
        <w:rPr>
          <w:rtl w:val="0"/>
        </w:rPr>
      </w:r>
    </w:p>
    <w:p w:rsidR="00000000" w:rsidDel="00000000" w:rsidP="00000000" w:rsidRDefault="00000000" w:rsidRPr="00000000" w14:paraId="00000067">
      <w:pPr>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68">
      <w:pPr>
        <w:rPr>
          <w:rFonts w:ascii="Arial" w:cs="Arial" w:eastAsia="Arial" w:hAnsi="Arial"/>
          <w:b w:val="0"/>
          <w:i w:val="0"/>
          <w:strike w:val="0"/>
          <w:color w:val="000001"/>
          <w:sz w:val="20"/>
          <w:szCs w:val="20"/>
          <w:u w:val="none"/>
        </w:rPr>
      </w:pPr>
      <w:r w:rsidDel="00000000" w:rsidR="00000000" w:rsidRPr="00000000">
        <w:rPr>
          <w:rFonts w:ascii="Arial" w:cs="Arial" w:eastAsia="Arial" w:hAnsi="Arial"/>
          <w:b w:val="0"/>
          <w:i w:val="0"/>
          <w:strike w:val="0"/>
          <w:color w:val="000001"/>
          <w:sz w:val="20"/>
          <w:szCs w:val="20"/>
          <w:u w:val="none"/>
          <w:rtl w:val="0"/>
        </w:rPr>
        <w:t xml:space="preserve">La diversificación productiva, la innovación y el uso de TICs como oportunidades en el contexto de la pandemia en empresas industriales del Partido de Gral. Pueyrredón.</w:t>
      </w:r>
    </w:p>
    <w:p w:rsidR="00000000" w:rsidDel="00000000" w:rsidP="00000000" w:rsidRDefault="00000000" w:rsidRPr="00000000" w14:paraId="00000069">
      <w:pPr>
        <w:rPr>
          <w:rFonts w:ascii="Arial" w:cs="Arial" w:eastAsia="Arial" w:hAnsi="Arial"/>
          <w:color w:val="000001"/>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color w:val="000001"/>
          <w:sz w:val="20"/>
          <w:szCs w:val="20"/>
        </w:rPr>
      </w:pPr>
      <w:r w:rsidDel="00000000" w:rsidR="00000000" w:rsidRPr="00000000">
        <w:rPr>
          <w:rFonts w:ascii="Arial" w:cs="Arial" w:eastAsia="Arial" w:hAnsi="Arial"/>
          <w:color w:val="000001"/>
          <w:sz w:val="20"/>
          <w:szCs w:val="20"/>
          <w:rtl w:val="0"/>
        </w:rPr>
        <w:t xml:space="preserve">GRUPO ANÁLISIS INDUSTRIAL</w:t>
      </w:r>
    </w:p>
    <w:p w:rsidR="00000000" w:rsidDel="00000000" w:rsidP="00000000" w:rsidRDefault="00000000" w:rsidRPr="00000000" w14:paraId="0000006B">
      <w:pPr>
        <w:rPr>
          <w:rFonts w:ascii="Arial" w:cs="Arial" w:eastAsia="Arial" w:hAnsi="Arial"/>
          <w:b w:val="0"/>
          <w:i w:val="0"/>
          <w:strike w:val="0"/>
          <w:color w:val="000001"/>
          <w:sz w:val="20"/>
          <w:szCs w:val="20"/>
          <w:u w:val="none"/>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b w:val="0"/>
          <w:i w:val="0"/>
          <w:strike w:val="0"/>
          <w:color w:val="000001"/>
          <w:sz w:val="20"/>
          <w:szCs w:val="20"/>
          <w:u w:val="none"/>
          <w:rtl w:val="0"/>
        </w:rPr>
        <w:t xml:space="preserve">Directora:</w:t>
      </w:r>
      <w:r w:rsidDel="00000000" w:rsidR="00000000" w:rsidRPr="00000000">
        <w:rPr>
          <w:rFonts w:ascii="Arial" w:cs="Arial" w:eastAsia="Arial" w:hAnsi="Arial"/>
          <w:b w:val="0"/>
          <w:i w:val="0"/>
          <w:smallCaps w:val="0"/>
          <w:strike w:val="0"/>
          <w:color w:val="000001"/>
          <w:sz w:val="20"/>
          <w:szCs w:val="20"/>
          <w:u w:val="none"/>
          <w:rtl w:val="0"/>
        </w:rPr>
        <w:t xml:space="preserve"> Liseras, Natacha </w:t>
      </w:r>
      <w:r w:rsidDel="00000000" w:rsidR="00000000" w:rsidRPr="00000000">
        <w:rPr>
          <w:rtl w:val="0"/>
        </w:rPr>
      </w:r>
    </w:p>
    <w:p w:rsidR="00000000" w:rsidDel="00000000" w:rsidP="00000000" w:rsidRDefault="00000000" w:rsidRPr="00000000" w14:paraId="0000006D">
      <w:pPr>
        <w:rPr>
          <w:rFonts w:ascii="Arial" w:cs="Arial" w:eastAsia="Arial" w:hAnsi="Arial"/>
          <w:b w:val="0"/>
          <w:i w:val="0"/>
          <w:smallCaps w:val="0"/>
          <w:strike w:val="0"/>
          <w:color w:val="000001"/>
          <w:sz w:val="20"/>
          <w:szCs w:val="20"/>
          <w:u w:val="none"/>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b w:val="0"/>
          <w:i w:val="0"/>
          <w:smallCaps w:val="0"/>
          <w:sz w:val="20"/>
          <w:szCs w:val="20"/>
          <w:rtl w:val="0"/>
        </w:rPr>
        <w:t xml:space="preserve">Co – Director: Graña, Fernando </w:t>
      </w:r>
      <w:r w:rsidDel="00000000" w:rsidR="00000000" w:rsidRPr="00000000">
        <w:rPr>
          <w:rtl w:val="0"/>
        </w:rPr>
      </w:r>
    </w:p>
    <w:p w:rsidR="00000000" w:rsidDel="00000000" w:rsidP="00000000" w:rsidRDefault="00000000" w:rsidRPr="00000000" w14:paraId="0000006F">
      <w:pPr>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b w:val="0"/>
          <w:i w:val="0"/>
          <w:smallCaps w:val="0"/>
          <w:sz w:val="20"/>
          <w:szCs w:val="20"/>
        </w:rPr>
      </w:pPr>
      <w:r w:rsidDel="00000000" w:rsidR="00000000" w:rsidRPr="00000000">
        <w:rPr>
          <w:rFonts w:ascii="Arial" w:cs="Arial" w:eastAsia="Arial" w:hAnsi="Arial"/>
          <w:b w:val="0"/>
          <w:i w:val="0"/>
          <w:smallCaps w:val="0"/>
          <w:sz w:val="20"/>
          <w:szCs w:val="20"/>
          <w:rtl w:val="0"/>
        </w:rPr>
        <w:t xml:space="preserve">Resumen:</w:t>
      </w:r>
    </w:p>
    <w:p w:rsidR="00000000" w:rsidDel="00000000" w:rsidP="00000000" w:rsidRDefault="00000000" w:rsidRPr="00000000" w14:paraId="00000071">
      <w:pPr>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b w:val="0"/>
          <w:i w:val="0"/>
          <w:smallCaps w:val="0"/>
          <w:color w:val="333333"/>
          <w:sz w:val="20"/>
          <w:szCs w:val="20"/>
          <w:rtl w:val="0"/>
        </w:rPr>
        <w:t xml:space="preserve">El presente proyecto, inserto en la línea de trabajo del Grupo de Análisis Industrial en la temática de la</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diversificación productiva (DP), propone profundizar en las oportunidades surgidas para las empresas</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industriales a partir de la puesta en marcha de procesos de diversificación productiva y de innovación en el</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contexto particular de la pandemia. Datos relevados en abril y junio de 2020, muestran la introducción de</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nuevos productos durante la cuarentena, algunos de ellos como resultado de procesos de innovación</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iniciados pre-pandemia y otros como resultado de la detección de oportunidades de mercado. Esta es una</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situación sin precedentes, por lo cual la posibilidad de estudiarla a nivel del Partido de Gral. Pueyrredon</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(PGP) constituye un aporte indiscutible. Asimismo, la necesidad de utilizar canales digitales de venta en los</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primeros momentos de la cuarentena, diferenciaron a las empresas con uso de TICs pre-pandemia de aquellas</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que tuvieron que incorporar su uso para poder sobrevivir en el mercado. En este contexto, resulta relevante</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analizar la potencialidad del sector de Software y Servicios Informáticos para impulsar la competitividad de</w:t>
      </w:r>
      <w:r w:rsidDel="00000000" w:rsidR="00000000" w:rsidRPr="00000000">
        <w:rPr>
          <w:rFonts w:ascii="Arial" w:cs="Arial" w:eastAsia="Arial" w:hAnsi="Arial"/>
          <w:b w:val="0"/>
          <w:i w:val="0"/>
          <w:smallCaps w:val="0"/>
          <w:sz w:val="20"/>
          <w:szCs w:val="20"/>
          <w:rtl w:val="0"/>
        </w:rPr>
        <w:br w:type="textWrapping"/>
      </w:r>
      <w:r w:rsidDel="00000000" w:rsidR="00000000" w:rsidRPr="00000000">
        <w:rPr>
          <w:rFonts w:ascii="Arial" w:cs="Arial" w:eastAsia="Arial" w:hAnsi="Arial"/>
          <w:b w:val="0"/>
          <w:i w:val="0"/>
          <w:smallCaps w:val="0"/>
          <w:color w:val="333333"/>
          <w:sz w:val="20"/>
          <w:szCs w:val="20"/>
          <w:rtl w:val="0"/>
        </w:rPr>
        <w:t xml:space="preserve">empresas industriales del PGP a partir de la pandemia.</w:t>
      </w:r>
      <w:r w:rsidDel="00000000" w:rsidR="00000000" w:rsidRPr="00000000">
        <w:rPr>
          <w:rFonts w:ascii="Arial" w:cs="Arial" w:eastAsia="Arial" w:hAnsi="Arial"/>
          <w:b w:val="0"/>
          <w:i w:val="0"/>
          <w:smallCaps w:val="0"/>
          <w:sz w:val="20"/>
          <w:szCs w:val="20"/>
          <w:rtl w:val="0"/>
        </w:rPr>
        <w:t xml:space="preserve"> </w:t>
      </w:r>
      <w:r w:rsidDel="00000000" w:rsidR="00000000" w:rsidRPr="00000000">
        <w:rPr>
          <w:rtl w:val="0"/>
        </w:rPr>
      </w:r>
    </w:p>
    <w:p w:rsidR="00000000" w:rsidDel="00000000" w:rsidP="00000000" w:rsidRDefault="00000000" w:rsidRPr="00000000" w14:paraId="00000073">
      <w:pPr>
        <w:rPr>
          <w:rFonts w:ascii="Arial" w:cs="Arial" w:eastAsia="Arial" w:hAnsi="Arial"/>
          <w:b w:val="0"/>
          <w:i w:val="0"/>
          <w:smallCaps w:val="0"/>
          <w:sz w:val="20"/>
          <w:szCs w:val="20"/>
        </w:rPr>
      </w:pPr>
      <w:r w:rsidDel="00000000" w:rsidR="00000000" w:rsidRPr="00000000">
        <w:rPr>
          <w:rtl w:val="0"/>
        </w:rPr>
      </w:r>
    </w:p>
    <w:p w:rsidR="00000000" w:rsidDel="00000000" w:rsidP="00000000" w:rsidRDefault="00000000" w:rsidRPr="00000000" w14:paraId="00000074">
      <w:pPr>
        <w:rPr>
          <w:rFonts w:ascii="Arial" w:cs="Arial" w:eastAsia="Arial" w:hAnsi="Arial"/>
          <w:b w:val="0"/>
          <w:i w:val="0"/>
          <w:smallCaps w:val="0"/>
          <w:sz w:val="20"/>
          <w:szCs w:val="20"/>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